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494ecbc" w14:textId="494ecbc">
      <w:pPr>
        <w:spacing w:after="0"/>
        <w:ind w:left="0"/>
        <w:jc w:val="left"/>
        <w15:collapsed w:val="false"/>
      </w:pPr>
      <w:r>
        <w:rPr>
          <w:rFonts w:ascii="Consolas"/>
          <w:b w:val="false"/>
          <w:i w:val="false"/>
          <w:color w:val="000000"/>
          <w:sz w:val="20"/>
        </w:rPr>
        <w:t>
				</w:t>
      </w:r>
      <w:r>
        <w:drawing>
          <wp:inline distT="0" distB="0" distL="0" distR="0">
            <wp:extent cx="19050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/>
          <w:b w:val="false"/>
          <w:i w:val="false"/>
          <w:color w:val="000000"/>
          <w:sz w:val="20"/>
        </w:rPr>
        <w:t>
					</w:t>
      </w:r>
    </w:p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>Об утверждении перечня квалификационных категорий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Приказ Министра здравоохранения и социального развития Республики Казахстан от 19 июня 2015 года № 493. Зарегистрирован в Министерстве юстиции Республики Казахстан 30 июля 2015 года № 11794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ff0000"/>
          <w:sz w:val="20"/>
        </w:rPr>
        <w:t>
      Примечание РЦПИ!</w:t>
      </w:r>
      <w:r>
        <w:br/>
      </w:r>
      <w:r>
        <w:rPr>
          <w:rFonts w:ascii="Consolas"/>
          <w:b w:val="false"/>
          <w:i w:val="false"/>
          <w:color w:val="ff0000"/>
          <w:sz w:val="20"/>
        </w:rPr>
        <w:t>
      Вводится в действие с 09.10.2015.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 В соответствии с пунктом 3 статьи 176-1 </w:t>
      </w:r>
      <w:r>
        <w:rPr>
          <w:rFonts w:ascii="Consolas"/>
          <w:b w:val="false"/>
          <w:i w:val="false"/>
          <w:color w:val="000000"/>
          <w:sz w:val="20"/>
        </w:rPr>
        <w:t>Кодекса</w:t>
      </w:r>
      <w:r>
        <w:rPr>
          <w:rFonts w:ascii="Consolas"/>
          <w:b w:val="false"/>
          <w:i w:val="false"/>
          <w:color w:val="000000"/>
          <w:sz w:val="20"/>
        </w:rPr>
        <w:t xml:space="preserve"> Республики Казахстан от 18 сентября 2009 года "О здоровье народа и системе здравоохранения" </w:t>
      </w:r>
      <w:r>
        <w:rPr>
          <w:rFonts w:ascii="Consolas"/>
          <w:b/>
          <w:i w:val="false"/>
          <w:color w:val="000000"/>
          <w:sz w:val="20"/>
        </w:rPr>
        <w:t>ПРИКАЗЫВАЮ:</w:t>
      </w:r>
    </w:p>
    <w:bookmarkStart w:name="z1" w:id="0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1. Утвердить </w:t>
      </w:r>
      <w:r>
        <w:rPr>
          <w:rFonts w:ascii="Consolas"/>
          <w:b w:val="false"/>
          <w:i w:val="false"/>
          <w:color w:val="000000"/>
          <w:sz w:val="20"/>
        </w:rPr>
        <w:t>Перечень</w:t>
      </w:r>
      <w:r>
        <w:rPr>
          <w:rFonts w:ascii="Consolas"/>
          <w:b w:val="false"/>
          <w:i w:val="false"/>
          <w:color w:val="000000"/>
          <w:sz w:val="20"/>
        </w:rPr>
        <w:t xml:space="preserve"> квалификационных категорий согласно приложению к настоящему приказу.</w:t>
      </w:r>
    </w:p>
    <w:bookmarkEnd w:id="0"/>
    <w:bookmarkStart w:name="z2"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2. Комитету контроля медицинской и фармацевтической деятельности Министерства здравоохранения и социального развития Республики Казахстан в установленном законодательством порядке обеспечить:</w:t>
      </w:r>
    </w:p>
    <w:bookmarkEnd w:id="1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государственную регистрацию настоящего приказа в Министерстве юстиции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в течение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информационно-правовой системе нормативных правовых актов Республики Казахстан "Әділет";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3) размещение настоящего приказа на интернет-ресурсе Министерства здравоохранения и социального развития Республики Казахстан;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и социального развития Республики Казахстан сведений об исполнении мероприятий, предусмотренных подпунктами 1), 2) и 3) настоящего пункта.</w:t>
      </w:r>
    </w:p>
    <w:bookmarkStart w:name="z3" w:id="2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3. Контроль за исполнением настоящего приказа возложить на вице-министра здравоохранения и социального развития Республики Казахстан Цой А.В.</w:t>
      </w:r>
    </w:p>
    <w:bookmarkEnd w:id="2"/>
    <w:bookmarkStart w:name="z4" w:id="3"/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4. Настоящий приказ подлежит официальному опубликованию и вводится в действие с 9 октября 2015 года.</w:t>
      </w:r>
    </w:p>
    <w:bookmarkEnd w:id="3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Министр здравоохранения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и социального развития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left"/>
            </w:pP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Республики Казахстан</w:t>
            </w:r>
          </w:p>
        </w:tc>
        <w:tc>
          <w:tcPr>
            <w:tcW w:w="615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left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
Т. Дуйсенова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"СОГЛАСОВАН"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Министр национальной экономики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Республики Казахстан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__________ Е. Досаев   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26 июня 2015 года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7793"/>
        <w:gridCol w:w="4613"/>
      </w:tblGrid>
      <w:tr>
        <w:trPr>
          <w:trHeight w:val="30" w:hRule="atLeast"/>
        </w:trPr>
        <w:tc>
          <w:tcPr>
            <w:tcW w:w="779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здравоохранения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и социального развития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Consolas"/>
                <w:b w:val="false"/>
                <w:i w:val="false"/>
                <w:color w:val="000000"/>
                <w:sz w:val="20"/>
              </w:rPr>
              <w:t>от 19 июня 2015 года № 493</w:t>
            </w:r>
          </w:p>
        </w:tc>
      </w:tr>
    </w:tbl>
    <w:p>
      <w:pPr>
        <w:spacing w:after="0"/>
        <w:ind w:left="0"/>
        <w:jc w:val="left"/>
      </w:pPr>
      <w:r>
        <w:rPr>
          <w:rFonts w:ascii="Consolas"/>
          <w:b/>
          <w:i w:val="false"/>
          <w:color w:val="000000"/>
        </w:rPr>
        <w:t xml:space="preserve"> Перечень квалификационных категорий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1) вторая квалификационная категория;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>
      2) первая квалификационная категория;</w:t>
      </w:r>
    </w:p>
    <w:p>
      <w:pPr>
        <w:spacing w:after="0"/>
        <w:ind w:left="0"/>
        <w:jc w:val="left"/>
      </w:pPr>
      <w:r>
        <w:rPr>
          <w:rFonts w:ascii="Consolas"/>
          <w:b w:val="false"/>
          <w:i w:val="false"/>
          <w:color w:val="000000"/>
          <w:sz w:val="20"/>
        </w:rPr>
        <w:t xml:space="preserve">
      3) высшая квалификационная категория. 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Consolas"/>
          <w:b w:val="false"/>
          <w:i w:val="false"/>
          <w:color w:val="000000"/>
          <w:sz w:val="20"/>
        </w:rPr>
        <w:t>
				</w:t>
      </w:r>
    </w:p>
    <w:p>
      <w:pPr>
        <w:pStyle w:val="disclaimer"/>
      </w:pPr>
      <w:r>
        <w:rPr>
          <w:rFonts w:ascii="Consolas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Consolas" w:hAnsi="Consolas" w:eastAsia="Consolas" w:cs="Consol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Consolas" w:hAnsi="Consolas" w:eastAsia="Consolas" w:cs="Consola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Consolas" w:hAnsi="Consolas" w:eastAsia="Consolas" w:cs="Consola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Consolas" w:hAnsi="Consolas" w:eastAsia="Consolas" w:cs="Consola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Consolas" w:hAnsi="Consolas" w:eastAsia="Consolas" w:cs="Consolas"/>
    </w:rPr>
  </w:style>
  <w:style w:type="character" w:styleId="DefaultParagraphFont" w:default="true">
    <w:name w:val="Default Paragraph Font"/>
    <w:uiPriority w:val="1"/>
    <w:semiHidden/>
    <w:unhideWhenUsed/>
    <w:rPr>
      <w:rFonts w:ascii="Consolas" w:hAnsi="Consolas" w:eastAsia="Consolas" w:cs="Consolas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Consolas" w:hAnsi="Consolas" w:eastAsia="Consolas" w:cs="Consolas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Consolas" w:hAnsi="Consolas" w:eastAsia="Consolas" w:cs="Consolas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Consolas" w:hAnsi="Consolas" w:eastAsia="Consolas" w:cs="Consolas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Consolas" w:hAnsi="Consolas" w:eastAsia="Consolas" w:cs="Consolas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Consolas" w:hAnsi="Consolas" w:eastAsia="Consolas" w:cs="Consolas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Consolas" w:hAnsi="Consolas" w:eastAsia="Consolas" w:cs="Consolas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Consolas" w:hAnsi="Consolas" w:eastAsia="Consolas" w:cs="Consola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Consolas" w:hAnsi="Consolas" w:eastAsia="Consolas" w:cs="Consolas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Consolas" w:hAnsi="Consolas" w:eastAsia="Consolas" w:cs="Consolas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Consolas" w:hAnsi="Consolas" w:eastAsia="Consolas" w:cs="Consolas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Consolas" w:hAnsi="Consolas" w:eastAsia="Consolas" w:cs="Consolas"/>
    </w:rPr>
  </w:style>
  <w:style w:type="character" w:styleId="Emphasis">
    <w:name w:val="Emphasis"/>
    <w:basedOn w:val="DefaultParagraphFont"/>
    <w:uiPriority w:val="20"/>
    <w:qFormat/>
    <w:rsid w:val="00D1197D"/>
    <w:rPr>
      <w:rFonts w:ascii="Consolas" w:hAnsi="Consolas" w:eastAsia="Consolas" w:cs="Consolas"/>
    </w:rPr>
  </w:style>
  <w:style w:type="character" w:styleId="Hyperlink">
    <w:name w:val="Hyperlink"/>
    <w:basedOn w:val="DefaultParagraphFont"/>
    <w:uiPriority w:val="99"/>
    <w:unhideWhenUsed/>
    <w:rPr>
      <w:rFonts w:ascii="Consolas" w:hAnsi="Consolas" w:eastAsia="Consolas" w:cs="Consolas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onsolas" w:hAnsi="Consolas" w:eastAsia="Consolas" w:cs="Consolas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Consolas" w:hAnsi="Consolas" w:eastAsia="Consolas" w:cs="Consola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Consolas" w:hAnsi="Consolas" w:eastAsia="Consolas" w:cs="Consolas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